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0D744DF">
      <w:pPr>
        <w:widowControl/>
        <w:pBdr>
          <w:top w:val="none" w:color="auto" w:sz="0" w:space="0"/>
          <w:left w:val="none" w:color="auto" w:sz="0" w:space="0"/>
          <w:bottom w:val="none" w:color="auto" w:sz="0" w:space="0"/>
          <w:right w:val="none" w:color="auto" w:sz="0" w:space="0"/>
        </w:pBdr>
        <w:spacing w:beforeAutospacing="0" w:after="0" w:afterAutospacing="0"/>
        <w:ind w:left="0" w:right="0"/>
        <w:jc w:val="left"/>
        <w:textAlignment w:val="baseline"/>
      </w:pPr>
    </w:p>
    <w:p w14:paraId="24881756">
      <w:pPr>
        <w:widowControl/>
        <w:pBdr>
          <w:top w:val="none" w:color="auto" w:sz="0" w:space="0"/>
          <w:left w:val="none" w:color="auto" w:sz="0" w:space="0"/>
          <w:bottom w:val="none" w:color="auto" w:sz="0" w:space="0"/>
          <w:right w:val="none" w:color="auto" w:sz="0" w:space="0"/>
        </w:pBdr>
        <w:bidi w:val="0"/>
        <w:spacing w:beforeAutospacing="0" w:after="141" w:afterAutospacing="0"/>
        <w:ind w:left="310" w:right="0"/>
        <w:jc w:val="left"/>
        <w:textAlignment w:val="baseline"/>
      </w:pPr>
    </w:p>
    <w:p w14:paraId="4BA47CC7">
      <w:pPr>
        <w:pStyle w:val="3"/>
        <w:widowControl/>
        <w:pBdr>
          <w:top w:val="none" w:color="auto" w:sz="0" w:space="0"/>
          <w:left w:val="none" w:color="auto" w:sz="0" w:space="0"/>
          <w:bottom w:val="none" w:color="auto" w:sz="0" w:space="0"/>
          <w:right w:val="none" w:color="auto" w:sz="0" w:space="0"/>
        </w:pBdr>
        <w:spacing w:beforeAutospacing="0" w:after="266" w:afterAutospacing="0"/>
        <w:ind w:left="310" w:right="0"/>
        <w:textAlignment w:val="baseline"/>
        <w:rPr>
          <w:b/>
          <w:sz w:val="27"/>
          <w:szCs w:val="27"/>
          <w:u w:val="none"/>
        </w:rPr>
      </w:pPr>
      <w:r>
        <w:rPr>
          <w:b/>
          <w:sz w:val="27"/>
          <w:szCs w:val="27"/>
          <w:u w:val="none"/>
          <w:bdr w:val="none" w:color="auto" w:sz="0" w:space="0"/>
        </w:rPr>
        <w:t>Job Title</w:t>
      </w:r>
    </w:p>
    <w:p w14:paraId="7DD87F9E">
      <w:pPr>
        <w:pStyle w:val="4"/>
        <w:widowControl/>
        <w:pBdr>
          <w:top w:val="none" w:color="auto" w:sz="0" w:space="0"/>
          <w:left w:val="none" w:color="auto" w:sz="0" w:space="0"/>
          <w:bottom w:val="none" w:color="auto" w:sz="0" w:space="0"/>
          <w:right w:val="none" w:color="auto" w:sz="0" w:space="0"/>
        </w:pBdr>
        <w:spacing w:beforeAutospacing="0" w:after="268" w:afterAutospacing="0"/>
        <w:ind w:left="310" w:right="0"/>
        <w:jc w:val="left"/>
        <w:textAlignment w:val="baseline"/>
        <w:rPr>
          <w:b/>
          <w:u w:val="none"/>
        </w:rPr>
      </w:pPr>
      <w:bookmarkStart w:id="0" w:name="_GoBack"/>
      <w:r>
        <w:rPr>
          <w:b/>
          <w:u w:val="none"/>
          <w:bdr w:val="none" w:color="auto" w:sz="0" w:space="0"/>
        </w:rPr>
        <w:t>Sector Advisor – Gender Equality, Women’s Empowerment and Inclusion job at Welthungerhilfe (WHH)</w:t>
      </w:r>
      <w:bookmarkEnd w:id="0"/>
    </w:p>
    <w:p w14:paraId="6732A0E3">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rPr>
        <w:t>Welthungerhilfe (WHH)</w:t>
      </w:r>
    </w:p>
    <w:p w14:paraId="490E76AA">
      <w:pPr>
        <w:pStyle w:val="3"/>
        <w:widowControl/>
        <w:pBdr>
          <w:top w:val="none" w:color="auto" w:sz="0" w:space="0"/>
          <w:left w:val="none" w:color="auto" w:sz="0" w:space="0"/>
          <w:bottom w:val="none" w:color="auto" w:sz="0" w:space="0"/>
          <w:right w:val="none" w:color="auto" w:sz="0" w:space="0"/>
        </w:pBdr>
        <w:spacing w:beforeAutospacing="0" w:after="186" w:afterAutospacing="0"/>
        <w:ind w:left="310" w:right="0"/>
        <w:textAlignment w:val="baseline"/>
        <w:rPr>
          <w:b/>
          <w:sz w:val="27"/>
          <w:szCs w:val="27"/>
          <w:u w:val="none"/>
        </w:rPr>
      </w:pPr>
      <w:r>
        <w:rPr>
          <w:b/>
          <w:sz w:val="27"/>
          <w:szCs w:val="27"/>
          <w:u w:val="none"/>
          <w:bdr w:val="none" w:color="auto" w:sz="0" w:space="0"/>
        </w:rPr>
        <w:t>Job Description</w:t>
      </w:r>
    </w:p>
    <w:p w14:paraId="7FEDF24E">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Job Title:</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bdr w:val="none" w:color="auto" w:sz="0" w:space="0"/>
          <w:vertAlign w:val="baseline"/>
        </w:rPr>
        <w:t> Sector Advisor – Gender Equality, Women’s Empowerment and Inclusion</w:t>
      </w:r>
    </w:p>
    <w:p w14:paraId="09074BDA">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Organisation:</w:t>
      </w:r>
      <w:r>
        <w:rPr>
          <w:rFonts w:hint="default" w:ascii="futura-lt-w01-book" w:hAnsi="futura-lt-w01-book" w:eastAsia="futura-lt-w01-book" w:cs="futura-lt-w01-book"/>
          <w:sz w:val="21"/>
          <w:szCs w:val="21"/>
          <w:bdr w:val="none" w:color="auto" w:sz="0" w:space="0"/>
        </w:rPr>
        <w:t> </w:t>
      </w:r>
      <w:r>
        <w:rPr>
          <w:rFonts w:hint="default" w:ascii="futura-lt-w01-book" w:hAnsi="futura-lt-w01-book" w:eastAsia="futura-lt-w01-book" w:cs="futura-lt-w01-book"/>
          <w:sz w:val="21"/>
          <w:szCs w:val="21"/>
          <w:bdr w:val="none" w:color="auto" w:sz="0" w:space="0"/>
          <w:vertAlign w:val="baseline"/>
        </w:rPr>
        <w:t>Welthungerhilfe (WHH)</w:t>
      </w:r>
    </w:p>
    <w:p w14:paraId="7CF71D97">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Duty Station:</w:t>
      </w:r>
      <w:r>
        <w:rPr>
          <w:rFonts w:hint="default" w:ascii="futura-lt-w01-book" w:hAnsi="futura-lt-w01-book" w:eastAsia="futura-lt-w01-book" w:cs="futura-lt-w01-book"/>
          <w:sz w:val="21"/>
          <w:szCs w:val="21"/>
          <w:bdr w:val="none" w:color="auto" w:sz="0" w:space="0"/>
          <w:vertAlign w:val="baseline"/>
        </w:rPr>
        <w:t> </w:t>
      </w:r>
      <w:r>
        <w:rPr>
          <w:rFonts w:hint="default" w:ascii="futura-lt-w01-book" w:hAnsi="futura-lt-w01-book" w:eastAsia="futura-lt-w01-book" w:cs="futura-lt-w01-book"/>
          <w:sz w:val="21"/>
          <w:szCs w:val="21"/>
          <w:bdr w:val="none" w:color="auto" w:sz="0" w:space="0"/>
          <w:vertAlign w:val="baseline"/>
        </w:rPr>
        <w:t>Kampala,</w:t>
      </w:r>
      <w:r>
        <w:rPr>
          <w:rFonts w:hint="default" w:ascii="futura-lt-w01-book" w:hAnsi="futura-lt-w01-book" w:eastAsia="futura-lt-w01-book" w:cs="futura-lt-w01-book"/>
          <w:sz w:val="21"/>
          <w:szCs w:val="21"/>
          <w:bdr w:val="none" w:color="auto" w:sz="0" w:space="0"/>
          <w:vertAlign w:val="baseline"/>
        </w:rPr>
        <w:t> </w:t>
      </w:r>
      <w:r>
        <w:rPr>
          <w:rFonts w:hint="default" w:ascii="futura-lt-w01-book" w:hAnsi="futura-lt-w01-book" w:eastAsia="futura-lt-w01-book" w:cs="futura-lt-w01-book"/>
          <w:sz w:val="21"/>
          <w:szCs w:val="21"/>
          <w:bdr w:val="none" w:color="auto" w:sz="0" w:space="0"/>
          <w:vertAlign w:val="baseline"/>
        </w:rPr>
        <w:t>Uganda</w:t>
      </w:r>
    </w:p>
    <w:p w14:paraId="761C8B52">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Job Summary: </w:t>
      </w:r>
    </w:p>
    <w:p w14:paraId="138B8884">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The position is to be based at the Country Office in Kampala with technical oversight across the entire country program, WHH field offices and in collaboration with partner organisations. It will be offered for an initial contract duration of one year. The position is to be filled as of 01.01.2026.</w:t>
      </w:r>
    </w:p>
    <w:p w14:paraId="4B57D11B">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w:t>
      </w:r>
    </w:p>
    <w:p w14:paraId="271291BD">
      <w:pPr>
        <w:pStyle w:val="3"/>
        <w:widowControl/>
        <w:pBdr>
          <w:top w:val="none" w:color="auto" w:sz="0" w:space="0"/>
          <w:left w:val="none" w:color="auto" w:sz="0" w:space="0"/>
          <w:bottom w:val="none" w:color="auto" w:sz="0" w:space="0"/>
          <w:right w:val="none" w:color="auto" w:sz="0" w:space="0"/>
        </w:pBdr>
        <w:spacing w:beforeAutospacing="0" w:after="188" w:afterAutospacing="0"/>
        <w:ind w:left="310" w:right="0"/>
        <w:textAlignment w:val="baseline"/>
        <w:rPr>
          <w:b/>
          <w:sz w:val="27"/>
          <w:szCs w:val="27"/>
          <w:u w:val="none"/>
        </w:rPr>
      </w:pPr>
      <w:r>
        <w:rPr>
          <w:b/>
          <w:sz w:val="27"/>
          <w:szCs w:val="27"/>
          <w:u w:val="none"/>
          <w:bdr w:val="none" w:color="auto" w:sz="0" w:space="0"/>
        </w:rPr>
        <w:t>Duties, Roles and Responsibilities</w:t>
      </w:r>
    </w:p>
    <w:p w14:paraId="4F89668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4858F61">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Lead the development and implementation of WHH Uganda’s Gender Equality and Social Inclusion (GESI) Strategy, ensuring alignment with global frameworks and national priorities.</w:t>
      </w:r>
    </w:p>
    <w:p w14:paraId="2F23685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71625F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BB8148D">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Conduct or oversee gender and inclusion analyses to inform programme design across agriculture, WASH, livelihoods, and skills development.</w:t>
      </w:r>
    </w:p>
    <w:p w14:paraId="71D22E5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22609F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D467E5B">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Provide technical guidance to ensure gender-transformative and socially inclusive approaches are integrated into all projects.</w:t>
      </w:r>
    </w:p>
    <w:p w14:paraId="2114B54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69F6E2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A513118">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Oversee GESI focused project portfolio implemented in collaboration with WHH partner organisations, ensuring strategic alignment, effective delivery, and donor compliance.</w:t>
      </w:r>
    </w:p>
    <w:p w14:paraId="3D5CF81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40EB90A6">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517B90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Strengthen staff and partner capacity on gender-responsive and inclusive programming, tools, and best practices.</w:t>
      </w:r>
    </w:p>
    <w:p w14:paraId="7BEFE641">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06E3D3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203B914">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Collaborate with the MEAL team to embed GESI-sensitive indicators and lead gender-specific assessments and studies.</w:t>
      </w:r>
    </w:p>
    <w:p w14:paraId="03D5CEF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16D72E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E984573">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Support the development of proposals and project concepts, ensuring GESI integration and alignment with strategy and donor priorities.</w:t>
      </w:r>
    </w:p>
    <w:p w14:paraId="4411D7C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7117E29">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1AC95C8">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Monitor GESI project implementation, financial compliance, and resource use, conducting regular field visits for quality assurance.</w:t>
      </w:r>
    </w:p>
    <w:p w14:paraId="3F8C6458">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831D29A">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44A5F08">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Document and disseminate good practices, lessons learned, and innovations to strengthen organizational learning with regards to gender equality, women’s empowerment and social inclusion.</w:t>
      </w:r>
    </w:p>
    <w:p w14:paraId="1EEB3806">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23C6E8D">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9A69E8C">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Facilitate internal learning events and peer exchanges on gender transformation and social inclusion.</w:t>
      </w:r>
    </w:p>
    <w:p w14:paraId="753DF039">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5EFFF22">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8BE4E47">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Represent WHH Uganda in national GESI coordination forums, working groups, and advocacy platforms.</w:t>
      </w:r>
    </w:p>
    <w:p w14:paraId="13A50897">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35B0E4B">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0DDF4EE">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Build partnerships with government, donors, academia, and civil society to advance gender equality and social inclusion agendas.</w:t>
      </w:r>
    </w:p>
    <w:p w14:paraId="0396033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29517AE">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8D46DB2">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Promote and uphold safeguarding and PSEAH standards, ensuring gender-sensitive accountability and complaint mechanisms.</w:t>
      </w:r>
    </w:p>
    <w:p w14:paraId="719E8C6F">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F018A00">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8477BDD">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Collaborate with MEAL and Safeguarding Focal Points to ensure inclusive, gender-sensitive feedback channels for all groups.</w:t>
      </w:r>
    </w:p>
    <w:p w14:paraId="0B098383">
      <w:pPr>
        <w:widowControl/>
        <w:numPr>
          <w:ilvl w:val="0"/>
          <w:numId w:val="1"/>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67512B8">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pPr>
      <w:r>
        <w:rPr>
          <w:rFonts w:ascii="宋体" w:hAnsi="宋体" w:eastAsia="宋体" w:cs="宋体"/>
          <w:kern w:val="0"/>
          <w:sz w:val="24"/>
          <w:szCs w:val="24"/>
          <w:u w:val="none"/>
          <w:bdr w:val="single" w:color="auto" w:sz="2" w:space="0"/>
          <w:vertAlign w:val="baseline"/>
          <w:lang w:val="en-US" w:eastAsia="zh-CN" w:bidi="ar"/>
        </w:rPr>
        <w:fldChar w:fldCharType="begin"/>
      </w:r>
      <w:r>
        <w:rPr>
          <w:rFonts w:ascii="宋体" w:hAnsi="宋体" w:eastAsia="宋体" w:cs="宋体"/>
          <w:kern w:val="0"/>
          <w:sz w:val="24"/>
          <w:szCs w:val="24"/>
          <w:u w:val="none"/>
          <w:bdr w:val="single" w:color="auto" w:sz="2" w:space="0"/>
          <w:vertAlign w:val="baseline"/>
          <w:lang w:val="en-US" w:eastAsia="zh-CN" w:bidi="ar"/>
        </w:rPr>
        <w:instrText xml:space="preserve"> HYPERLINK "https://whatsapp.com/channel/0029VasuKIwFXUuThfwiRw2Q" \t "_blank" </w:instrText>
      </w:r>
      <w:r>
        <w:rPr>
          <w:rFonts w:ascii="宋体" w:hAnsi="宋体" w:eastAsia="宋体" w:cs="宋体"/>
          <w:kern w:val="0"/>
          <w:sz w:val="24"/>
          <w:szCs w:val="24"/>
          <w:u w:val="none"/>
          <w:bdr w:val="single" w:color="auto" w:sz="2" w:space="0"/>
          <w:vertAlign w:val="baseline"/>
          <w:lang w:val="en-US" w:eastAsia="zh-CN" w:bidi="ar"/>
        </w:rPr>
        <w:fldChar w:fldCharType="separate"/>
      </w:r>
    </w:p>
    <w:p w14:paraId="245FF65C">
      <w:pPr>
        <w:widowControl/>
        <w:pBdr>
          <w:top w:val="none" w:color="auto" w:sz="0" w:space="0"/>
          <w:left w:val="none" w:color="auto" w:sz="0" w:space="0"/>
          <w:bottom w:val="none" w:color="auto" w:sz="0" w:space="0"/>
          <w:right w:val="none" w:color="auto" w:sz="0" w:space="0"/>
        </w:pBdr>
        <w:bidi w:val="0"/>
        <w:spacing w:beforeAutospacing="0" w:after="0" w:afterAutospacing="0"/>
        <w:ind w:left="310" w:right="0"/>
        <w:jc w:val="left"/>
        <w:textAlignment w:val="baseline"/>
        <w:rPr>
          <w:u w:val="none"/>
        </w:rPr>
      </w:pPr>
      <w:r>
        <w:rPr>
          <w:rStyle w:val="10"/>
          <w:rFonts w:ascii="宋体" w:hAnsi="宋体" w:eastAsia="宋体" w:cs="宋体"/>
          <w:sz w:val="24"/>
          <w:szCs w:val="24"/>
          <w:u w:val="none"/>
          <w:bdr w:val="none" w:color="auto" w:sz="0" w:space="0"/>
          <w:vertAlign w:val="baseline"/>
        </w:rPr>
        <w:drawing>
          <wp:inline distT="0" distB="0" distL="114300" distR="114300">
            <wp:extent cx="6934200" cy="4133850"/>
            <wp:effectExtent l="0" t="0" r="0" b="0"/>
            <wp:docPr id="18" name="Picture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8" descr="IMG_263"/>
                    <pic:cNvPicPr>
                      <a:picLocks noChangeAspect="1"/>
                    </pic:cNvPicPr>
                  </pic:nvPicPr>
                  <pic:blipFill>
                    <a:blip r:embed="rId4" r:link="rId5"/>
                    <a:stretch>
                      <a:fillRect/>
                    </a:stretch>
                  </pic:blipFill>
                  <pic:spPr>
                    <a:xfrm>
                      <a:off x="0" y="0"/>
                      <a:ext cx="6934200" cy="4133850"/>
                    </a:xfrm>
                    <a:prstGeom prst="rect">
                      <a:avLst/>
                    </a:prstGeom>
                    <a:noFill/>
                    <a:ln w="9525">
                      <a:noFill/>
                    </a:ln>
                  </pic:spPr>
                </pic:pic>
              </a:graphicData>
            </a:graphic>
          </wp:inline>
        </w:drawing>
      </w:r>
    </w:p>
    <w:p w14:paraId="18B5B117">
      <w:pPr>
        <w:widowControl/>
        <w:spacing w:beforeAutospacing="0" w:after="186" w:afterAutospacing="0"/>
        <w:ind w:left="310" w:right="0"/>
        <w:jc w:val="left"/>
      </w:pPr>
      <w:r>
        <w:rPr>
          <w:rFonts w:ascii="宋体" w:hAnsi="宋体" w:eastAsia="宋体" w:cs="宋体"/>
          <w:kern w:val="0"/>
          <w:sz w:val="24"/>
          <w:szCs w:val="24"/>
          <w:u w:val="none"/>
          <w:bdr w:val="single" w:color="auto" w:sz="2" w:space="0"/>
          <w:vertAlign w:val="baseline"/>
          <w:lang w:val="en-US" w:eastAsia="zh-CN" w:bidi="ar"/>
        </w:rPr>
        <w:fldChar w:fldCharType="end"/>
      </w:r>
    </w:p>
    <w:p w14:paraId="4F2ECF75">
      <w:pPr>
        <w:pStyle w:val="3"/>
        <w:widowControl/>
        <w:pBdr>
          <w:top w:val="none" w:color="auto" w:sz="0" w:space="0"/>
          <w:left w:val="none" w:color="auto" w:sz="0" w:space="0"/>
          <w:bottom w:val="none" w:color="auto" w:sz="0" w:space="0"/>
          <w:right w:val="none" w:color="auto" w:sz="0" w:space="0"/>
        </w:pBdr>
        <w:spacing w:beforeAutospacing="0" w:after="186" w:afterAutospacing="0"/>
        <w:ind w:left="310" w:right="0"/>
        <w:textAlignment w:val="baseline"/>
        <w:rPr>
          <w:b/>
          <w:sz w:val="27"/>
          <w:szCs w:val="27"/>
          <w:u w:val="none"/>
        </w:rPr>
      </w:pPr>
      <w:r>
        <w:rPr>
          <w:b/>
          <w:sz w:val="27"/>
          <w:szCs w:val="27"/>
          <w:u w:val="none"/>
          <w:bdr w:val="none" w:color="auto" w:sz="0" w:space="0"/>
        </w:rPr>
        <w:t>Qualifications, Education and Competencies</w:t>
      </w:r>
    </w:p>
    <w:p w14:paraId="5AC6F02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68C2349">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Master’s degree in Gender and Women Studies or Bachelor’s degree in Social Sciences, Development Studies, Natural Resource Management, Public Health, or a related field with substantial relevant experience.</w:t>
      </w:r>
    </w:p>
    <w:p w14:paraId="7C0A88A9">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181559F">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4562825">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7–10 years’ experience leading gender programming within international NGOs.</w:t>
      </w:r>
    </w:p>
    <w:p w14:paraId="459B218E">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D99EEC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599E3D0">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Strong expertise in gender-transformative approaches, gender mainstreaming, GBV prevention and response, and social inclusion.</w:t>
      </w:r>
    </w:p>
    <w:p w14:paraId="207026E4">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2CE2F42">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FE0CAB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Proven ability in gender capacity building, advocacy, and organizational engagement.</w:t>
      </w:r>
    </w:p>
    <w:p w14:paraId="1ED86FCF">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0ED8295">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5DF016A">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Excellent research, analytical, writing, and reporting skills.</w:t>
      </w:r>
    </w:p>
    <w:p w14:paraId="6582CFD1">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55E851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BE2B852">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Demonstrated understanding of government policies and structures related to gender, health, natural resources, and emergency response.</w:t>
      </w:r>
    </w:p>
    <w:p w14:paraId="1F84F99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1770B7C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D659DD3">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Knowledge of case management, psychosocial support, and life skills programming for survivor recovery.</w:t>
      </w:r>
    </w:p>
    <w:p w14:paraId="34CD4912">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0D57A68">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7B675661">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Strong leadership, program management, and staff development experience.</w:t>
      </w:r>
    </w:p>
    <w:p w14:paraId="7AFAF09F">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F74D2ED">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451D10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Proven ability to build partnerships, represent WHH in technical forums, and promote collaborative learning.</w:t>
      </w:r>
    </w:p>
    <w:p w14:paraId="7932377F">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DC19057">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361D0A2">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Proficiency in budgeting, forecasting, and effective resource planning.</w:t>
      </w:r>
    </w:p>
    <w:p w14:paraId="537F4F3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55A1161">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C071307">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Skilled in facilitation, partnership building, and team collaboration.</w:t>
      </w:r>
    </w:p>
    <w:p w14:paraId="73407EF6">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0599C3B">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3331D11">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Excellent communication and interpersonal skills with emotional maturity and good judgment.</w:t>
      </w:r>
    </w:p>
    <w:p w14:paraId="61D010B1">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63445553">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54F2F95F">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Proficient in Microsoft Office (Word, Excel, PowerPoint, Outlook, Access).</w:t>
      </w:r>
    </w:p>
    <w:p w14:paraId="25F02FA0">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0174B4C0">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23CF5EA3">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Ability to work under pressure, manage multiple priorities, and travel frequently to program sites.</w:t>
      </w:r>
    </w:p>
    <w:p w14:paraId="7914462A">
      <w:pPr>
        <w:widowControl/>
        <w:numPr>
          <w:ilvl w:val="0"/>
          <w:numId w:val="2"/>
        </w:numPr>
        <w:pBdr>
          <w:top w:val="none" w:color="auto" w:sz="0" w:space="0"/>
          <w:left w:val="none" w:color="auto" w:sz="0" w:space="0"/>
          <w:bottom w:val="none" w:color="auto" w:sz="0" w:space="0"/>
          <w:right w:val="none" w:color="auto" w:sz="0" w:space="0"/>
        </w:pBdr>
        <w:spacing w:beforeAutospacing="0" w:after="0" w:afterAutospacing="0" w:line="23" w:lineRule="atLeast"/>
        <w:ind w:left="620" w:right="0" w:firstLine="0"/>
        <w:textAlignment w:val="baseline"/>
      </w:pPr>
    </w:p>
    <w:p w14:paraId="31098DAE">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Style w:val="11"/>
          <w:rFonts w:hint="default" w:ascii="var(--ricos-custom-p-font-family" w:hAnsi="var(--ricos-custom-p-font-family" w:eastAsia="var(--ricos-custom-p-font-family" w:cs="var(--ricos-custom-p-font-family"/>
          <w:b/>
          <w:color w:val="111111"/>
          <w:sz w:val="24"/>
          <w:szCs w:val="24"/>
          <w:bdr w:val="none" w:color="auto" w:sz="0" w:space="0"/>
          <w:shd w:val="clear" w:fill="FFFFFF"/>
          <w:vertAlign w:val="baseline"/>
        </w:rPr>
        <w:t>Our offer</w:t>
      </w:r>
    </w:p>
    <w:p w14:paraId="06DC4BFD">
      <w:pPr>
        <w:pStyle w:val="8"/>
        <w:widowControl/>
        <w:pBdr>
          <w:top w:val="none" w:color="auto" w:sz="0" w:space="0"/>
          <w:left w:val="none" w:color="auto" w:sz="0" w:space="0"/>
          <w:bottom w:val="none" w:color="auto" w:sz="0" w:space="0"/>
          <w:right w:val="none" w:color="auto" w:sz="0" w:space="0"/>
        </w:pBdr>
        <w:spacing w:beforeAutospacing="0" w:after="0" w:afterAutospacing="0" w:line="23" w:lineRule="atLeast"/>
        <w:ind w:left="310" w:right="0"/>
        <w:textAlignment w:val="baseline"/>
        <w:rPr>
          <w:rFonts w:hint="default" w:ascii="var(--ricos-custom-p-font-family" w:hAnsi="var(--ricos-custom-p-font-family" w:eastAsia="var(--ricos-custom-p-font-family" w:cs="var(--ricos-custom-p-font-family"/>
        </w:rPr>
      </w:pPr>
      <w:r>
        <w:rPr>
          <w:rFonts w:hint="default" w:ascii="var(--ricos-custom-p-font-family" w:hAnsi="var(--ricos-custom-p-font-family" w:eastAsia="var(--ricos-custom-p-font-family" w:cs="var(--ricos-custom-p-font-family"/>
          <w:color w:val="111111"/>
          <w:sz w:val="24"/>
          <w:szCs w:val="24"/>
          <w:bdr w:val="none" w:color="auto" w:sz="0" w:space="0"/>
          <w:shd w:val="clear" w:fill="FFFFFF"/>
          <w:vertAlign w:val="baseline"/>
        </w:rPr>
        <w:t>We offer you the opportunity to work in a responsible and interesting field as part of an extremely dedicated team. Welthungerhilfe attaches great importance to the personal and professional development of its employees. Remuneration is based on our gender-independent salary scale.</w:t>
      </w:r>
    </w:p>
    <w:p w14:paraId="4FC6744E">
      <w:pPr>
        <w:pStyle w:val="3"/>
        <w:widowControl/>
        <w:pBdr>
          <w:top w:val="none" w:color="auto" w:sz="0" w:space="0"/>
          <w:left w:val="none" w:color="auto" w:sz="0" w:space="0"/>
          <w:bottom w:val="none" w:color="auto" w:sz="0" w:space="0"/>
          <w:right w:val="none" w:color="auto" w:sz="0" w:space="0"/>
        </w:pBdr>
        <w:spacing w:beforeAutospacing="0" w:after="188" w:afterAutospacing="0"/>
        <w:ind w:left="310" w:right="0"/>
        <w:textAlignment w:val="baseline"/>
        <w:rPr>
          <w:b/>
          <w:sz w:val="27"/>
          <w:szCs w:val="27"/>
          <w:u w:val="none"/>
        </w:rPr>
      </w:pPr>
      <w:r>
        <w:rPr>
          <w:b/>
          <w:sz w:val="27"/>
          <w:szCs w:val="27"/>
          <w:u w:val="none"/>
          <w:bdr w:val="none" w:color="auto" w:sz="0" w:space="0"/>
        </w:rPr>
        <w:t>How to Apply</w:t>
      </w:r>
    </w:p>
    <w:p w14:paraId="7BA9AD66">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Please send your application via our online recruiting system by October 26, 2025.</w:t>
      </w:r>
    </w:p>
    <w:p w14:paraId="6EE4F8D3">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u w:val="none"/>
          <w:bdr w:val="none" w:color="auto" w:sz="0" w:space="0"/>
        </w:rPr>
        <w:fldChar w:fldCharType="begin"/>
      </w:r>
      <w:r>
        <w:rPr>
          <w:rFonts w:hint="default" w:ascii="futura-lt-w01-book" w:hAnsi="futura-lt-w01-book" w:eastAsia="futura-lt-w01-book" w:cs="futura-lt-w01-book"/>
          <w:sz w:val="21"/>
          <w:szCs w:val="21"/>
          <w:u w:val="none"/>
          <w:bdr w:val="none" w:color="auto" w:sz="0" w:space="0"/>
        </w:rPr>
        <w:instrText xml:space="preserve"> HYPERLINK "https://career5.successfactors.eu/sfcareer/jobreqcareerpvt?jobId=13772&amp;company=WelthungerP&amp;st=647E679F5EE049D164FC2EED7FF55FB69EF3BEC1" \t "_blank" </w:instrText>
      </w:r>
      <w:r>
        <w:rPr>
          <w:rFonts w:hint="default" w:ascii="futura-lt-w01-book" w:hAnsi="futura-lt-w01-book" w:eastAsia="futura-lt-w01-book" w:cs="futura-lt-w01-book"/>
          <w:sz w:val="21"/>
          <w:szCs w:val="21"/>
          <w:u w:val="none"/>
          <w:bdr w:val="none" w:color="auto" w:sz="0" w:space="0"/>
        </w:rPr>
        <w:fldChar w:fldCharType="separate"/>
      </w:r>
      <w:r>
        <w:rPr>
          <w:rStyle w:val="10"/>
          <w:rFonts w:hint="default" w:ascii="futura-lt-w01-book" w:hAnsi="futura-lt-w01-book" w:eastAsia="futura-lt-w01-book" w:cs="futura-lt-w01-book"/>
          <w:sz w:val="21"/>
          <w:szCs w:val="21"/>
          <w:u w:val="none"/>
          <w:bdr w:val="none" w:color="auto" w:sz="0" w:space="0"/>
          <w:vertAlign w:val="baseline"/>
        </w:rPr>
        <w:t>Click Here</w:t>
      </w:r>
      <w:r>
        <w:rPr>
          <w:rFonts w:hint="default" w:ascii="futura-lt-w01-book" w:hAnsi="futura-lt-w01-book" w:eastAsia="futura-lt-w01-book" w:cs="futura-lt-w01-book"/>
          <w:sz w:val="21"/>
          <w:szCs w:val="21"/>
          <w:u w:val="none"/>
          <w:bdr w:val="none" w:color="auto" w:sz="0" w:space="0"/>
        </w:rPr>
        <w:fldChar w:fldCharType="end"/>
      </w:r>
    </w:p>
    <w:p w14:paraId="0F6B2E74">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Style w:val="11"/>
          <w:rFonts w:hint="default" w:ascii="futura-lt-w01-book" w:hAnsi="futura-lt-w01-book" w:eastAsia="futura-lt-w01-book" w:cs="futura-lt-w01-book"/>
          <w:sz w:val="21"/>
          <w:szCs w:val="21"/>
          <w:bdr w:val="none" w:color="auto" w:sz="0" w:space="0"/>
        </w:rPr>
        <w:t>Deadline: 26th October 2025</w:t>
      </w:r>
    </w:p>
    <w:p w14:paraId="385970A7">
      <w:pPr>
        <w:pStyle w:val="8"/>
        <w:widowControl/>
        <w:pBdr>
          <w:top w:val="none" w:color="auto" w:sz="0" w:space="0"/>
          <w:left w:val="none" w:color="auto" w:sz="0" w:space="0"/>
          <w:bottom w:val="none" w:color="auto" w:sz="0" w:space="0"/>
          <w:right w:val="none" w:color="auto" w:sz="0" w:space="0"/>
        </w:pBdr>
        <w:spacing w:beforeAutospacing="0" w:after="0" w:afterAutospacing="0"/>
        <w:ind w:left="310" w:right="0"/>
        <w:textAlignment w:val="baseline"/>
        <w:rPr>
          <w:rFonts w:hint="default" w:ascii="futura-lt-w01-book" w:hAnsi="futura-lt-w01-book" w:eastAsia="futura-lt-w01-book" w:cs="futura-lt-w01-book"/>
          <w:sz w:val="21"/>
          <w:szCs w:val="21"/>
        </w:rPr>
      </w:pPr>
      <w:r>
        <w:rPr>
          <w:rFonts w:hint="default" w:ascii="futura-lt-w01-book" w:hAnsi="futura-lt-w01-book" w:eastAsia="futura-lt-w01-book" w:cs="futura-lt-w01-book"/>
          <w:sz w:val="21"/>
          <w:szCs w:val="21"/>
          <w:bdr w:val="none" w:color="auto" w:sz="0" w:space="0"/>
          <w:vertAlign w:val="baseline"/>
        </w:rPr>
        <w:t>​</w:t>
      </w:r>
    </w:p>
    <w:p w14:paraId="032A2291">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0000000000000000000"/>
    <w:charset w:val="00"/>
    <w:family w:val="auto"/>
    <w:pitch w:val="default"/>
    <w:sig w:usb0="00000000" w:usb1="00000000" w:usb2="00000000" w:usb3="00000000" w:csb0="00000000" w:csb1="00000000"/>
  </w:font>
  <w:font w:name="reklamescriptw00-medium">
    <w:panose1 w:val="00000000000000000000"/>
    <w:charset w:val="00"/>
    <w:family w:val="auto"/>
    <w:pitch w:val="default"/>
    <w:sig w:usb0="00000000" w:usb1="00000000" w:usb2="00000000" w:usb3="00000000" w:csb0="00000000" w:csb1="00000000"/>
  </w:font>
  <w:font w:name="futura-lt-w01-book">
    <w:panose1 w:val="00000000000000000000"/>
    <w:charset w:val="00"/>
    <w:family w:val="auto"/>
    <w:pitch w:val="default"/>
    <w:sig w:usb0="00000000" w:usb1="00000000" w:usb2="00000000" w:usb3="00000000" w:csb0="00000000" w:csb1="00000000"/>
  </w:font>
  <w:font w:name="futura-lt-w01-light">
    <w:panose1 w:val="00000000000000000000"/>
    <w:charset w:val="00"/>
    <w:family w:val="auto"/>
    <w:pitch w:val="default"/>
    <w:sig w:usb0="00000000" w:usb1="00000000" w:usb2="00000000" w:usb3="00000000" w:csb0="00000000" w:csb1="00000000"/>
  </w:font>
  <w:font w:name="var(--fnt">
    <w:panose1 w:val="00000000000000000000"/>
    <w:charset w:val="00"/>
    <w:family w:val="auto"/>
    <w:pitch w:val="default"/>
    <w:sig w:usb0="00000000" w:usb1="00000000" w:usb2="00000000" w:usb3="00000000" w:csb0="00000000" w:csb1="00000000"/>
  </w:font>
  <w:font w:name="madefor-text">
    <w:panose1 w:val="00000000000000000000"/>
    <w:charset w:val="00"/>
    <w:family w:val="auto"/>
    <w:pitch w:val="default"/>
    <w:sig w:usb0="00000000" w:usb1="00000000" w:usb2="00000000" w:usb3="00000000" w:csb0="00000000" w:csb1="00000000"/>
  </w:font>
  <w:font w:name="var(--ricos-custom-p-font-family">
    <w:panose1 w:val="00000000000000000000"/>
    <w:charset w:val="00"/>
    <w:family w:val="auto"/>
    <w:pitch w:val="default"/>
    <w:sig w:usb0="00000000" w:usb1="00000000" w:usb2="00000000" w:usb3="00000000" w:csb0="00000000" w:csb1="00000000"/>
  </w:font>
  <w:font w:name="helvetica-w01-bold">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FB424B"/>
    <w:multiLevelType w:val="multilevel"/>
    <w:tmpl w:val="68FB424B"/>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abstractNum w:abstractNumId="1">
    <w:nsid w:val="68FB4256"/>
    <w:multiLevelType w:val="multilevel"/>
    <w:tmpl w:val="68FB4256"/>
    <w:lvl w:ilvl="0" w:tentative="0">
      <w:start w:val="1"/>
      <w:numFmt w:val="bullet"/>
      <w:lvlText w:val=""/>
      <w:lvlJc w:val="left"/>
      <w:pPr>
        <w:tabs>
          <w:tab w:val="left" w:pos="720"/>
        </w:tabs>
        <w:ind w:left="720" w:firstLine="0"/>
      </w:pPr>
      <w:rPr>
        <w:rFonts w:hint="default" w:ascii="Symbol" w:hAnsi="Symbol" w:cs="Symbol"/>
        <w:sz w:val="20"/>
      </w:rPr>
    </w:lvl>
    <w:lvl w:ilvl="1" w:tentative="0">
      <w:start w:val="1"/>
      <w:numFmt w:val="bullet"/>
      <w:lvlText w:val=""/>
      <w:lvlJc w:val="left"/>
      <w:pPr>
        <w:tabs>
          <w:tab w:val="left" w:pos="1440"/>
        </w:tabs>
        <w:ind w:left="1440" w:firstLine="0"/>
      </w:pPr>
      <w:rPr>
        <w:rFonts w:hint="default" w:ascii="Symbol" w:hAnsi="Symbol" w:cs="Symbol"/>
        <w:sz w:val="20"/>
      </w:rPr>
    </w:lvl>
    <w:lvl w:ilvl="2" w:tentative="0">
      <w:start w:val="1"/>
      <w:numFmt w:val="bullet"/>
      <w:lvlText w:val=""/>
      <w:lvlJc w:val="left"/>
      <w:pPr>
        <w:tabs>
          <w:tab w:val="left" w:pos="2160"/>
        </w:tabs>
        <w:ind w:left="2160" w:firstLine="0"/>
      </w:pPr>
      <w:rPr>
        <w:rFonts w:hint="default" w:ascii="Symbol" w:hAnsi="Symbol" w:cs="Symbol"/>
        <w:sz w:val="20"/>
      </w:rPr>
    </w:lvl>
    <w:lvl w:ilvl="3" w:tentative="0">
      <w:start w:val="1"/>
      <w:numFmt w:val="bullet"/>
      <w:lvlText w:val=""/>
      <w:lvlJc w:val="left"/>
      <w:pPr>
        <w:tabs>
          <w:tab w:val="left" w:pos="2880"/>
        </w:tabs>
        <w:ind w:left="2880" w:firstLine="0"/>
      </w:pPr>
      <w:rPr>
        <w:rFonts w:hint="default" w:ascii="Symbol" w:hAnsi="Symbol" w:cs="Symbol"/>
        <w:sz w:val="20"/>
      </w:rPr>
    </w:lvl>
    <w:lvl w:ilvl="4" w:tentative="0">
      <w:start w:val="1"/>
      <w:numFmt w:val="bullet"/>
      <w:lvlText w:val=""/>
      <w:lvlJc w:val="left"/>
      <w:pPr>
        <w:tabs>
          <w:tab w:val="left" w:pos="3600"/>
        </w:tabs>
        <w:ind w:left="3600" w:firstLine="0"/>
      </w:pPr>
      <w:rPr>
        <w:rFonts w:hint="default" w:ascii="Symbol" w:hAnsi="Symbol" w:cs="Symbol"/>
        <w:sz w:val="20"/>
      </w:rPr>
    </w:lvl>
    <w:lvl w:ilvl="5" w:tentative="0">
      <w:start w:val="1"/>
      <w:numFmt w:val="bullet"/>
      <w:lvlText w:val=""/>
      <w:lvlJc w:val="left"/>
      <w:pPr>
        <w:tabs>
          <w:tab w:val="left" w:pos="4320"/>
        </w:tabs>
        <w:ind w:left="4320" w:firstLine="0"/>
      </w:pPr>
      <w:rPr>
        <w:rFonts w:hint="default" w:ascii="Symbol" w:hAnsi="Symbol" w:cs="Symbol"/>
        <w:sz w:val="20"/>
      </w:rPr>
    </w:lvl>
    <w:lvl w:ilvl="6" w:tentative="0">
      <w:start w:val="1"/>
      <w:numFmt w:val="bullet"/>
      <w:lvlText w:val=""/>
      <w:lvlJc w:val="left"/>
      <w:pPr>
        <w:tabs>
          <w:tab w:val="left" w:pos="5040"/>
        </w:tabs>
        <w:ind w:left="5040" w:firstLine="0"/>
      </w:pPr>
      <w:rPr>
        <w:rFonts w:hint="default" w:ascii="Symbol" w:hAnsi="Symbol" w:cs="Symbol"/>
        <w:sz w:val="20"/>
      </w:rPr>
    </w:lvl>
    <w:lvl w:ilvl="7" w:tentative="0">
      <w:start w:val="1"/>
      <w:numFmt w:val="bullet"/>
      <w:lvlText w:val=""/>
      <w:lvlJc w:val="left"/>
      <w:pPr>
        <w:tabs>
          <w:tab w:val="left" w:pos="5760"/>
        </w:tabs>
        <w:ind w:left="5760" w:firstLine="0"/>
      </w:pPr>
      <w:rPr>
        <w:rFonts w:hint="default" w:ascii="Symbol" w:hAnsi="Symbol" w:cs="Symbol"/>
        <w:sz w:val="20"/>
      </w:rPr>
    </w:lvl>
    <w:lvl w:ilvl="8" w:tentative="0">
      <w:start w:val="1"/>
      <w:numFmt w:val="bullet"/>
      <w:lvlText w:val=""/>
      <w:lvlJc w:val="left"/>
      <w:pPr>
        <w:tabs>
          <w:tab w:val="left" w:pos="6480"/>
        </w:tabs>
        <w:ind w:left="6480" w:firstLine="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spacing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next w:val="1"/>
    <w:unhideWhenUsed/>
    <w:qFormat/>
    <w:uiPriority w:val="0"/>
    <w:pPr>
      <w:spacing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next w:val="1"/>
    <w:unhideWhenUsed/>
    <w:qFormat/>
    <w:uiPriority w:val="0"/>
    <w:pPr>
      <w:spacing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next w:val="1"/>
    <w:unhideWhenUsed/>
    <w:qFormat/>
    <w:uiPriority w:val="0"/>
    <w:pPr>
      <w:spacing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next w:val="1"/>
    <w:unhideWhenUsed/>
    <w:qFormat/>
    <w:uiPriority w:val="0"/>
    <w:pPr>
      <w:spacing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next w:val="1"/>
    <w:unhideWhenUsed/>
    <w:qFormat/>
    <w:uiPriority w:val="0"/>
    <w:pPr>
      <w:spacing w:beforeAutospacing="1" w:after="0" w:afterAutospacing="1"/>
      <w:jc w:val="left"/>
    </w:pPr>
    <w:rPr>
      <w:rFonts w:hint="eastAsia" w:ascii="宋体" w:hAnsi="宋体" w:eastAsia="宋体" w:cs="宋体"/>
      <w:b/>
      <w:bCs/>
      <w:kern w:val="0"/>
      <w:sz w:val="15"/>
      <w:szCs w:val="15"/>
      <w:lang w:val="en-US" w:eastAsia="zh-CN" w:bidi="ar"/>
    </w:rPr>
  </w:style>
  <w:style w:type="character" w:default="1" w:styleId="9">
    <w:name w:val="Default Paragraph Font"/>
    <w:semiHidden/>
    <w:uiPriority w:val="0"/>
  </w:style>
  <w:style w:type="table" w:default="1" w:styleId="12">
    <w:name w:val="Normal Table"/>
    <w:semiHidden/>
    <w:uiPriority w:val="0"/>
    <w:tblPr>
      <w:tblLayout w:type="fixed"/>
      <w:tblCellMar>
        <w:top w:w="0" w:type="dxa"/>
        <w:left w:w="108" w:type="dxa"/>
        <w:bottom w:w="0" w:type="dxa"/>
        <w:right w:w="108" w:type="dxa"/>
      </w:tblCellMar>
    </w:tblPr>
  </w:style>
  <w:style w:type="paragraph" w:styleId="8">
    <w:name w:val="Normal (Web)"/>
    <w:basedOn w:val="1"/>
    <w:uiPriority w:val="0"/>
    <w:rPr>
      <w:sz w:val="24"/>
      <w:szCs w:val="24"/>
    </w:rPr>
  </w:style>
  <w:style w:type="character" w:styleId="10">
    <w:name w:val="Hyperlink"/>
    <w:basedOn w:val="9"/>
    <w:uiPriority w:val="0"/>
    <w:rPr>
      <w:color w:val="0000FF"/>
      <w:u w:val="single"/>
    </w:rPr>
  </w:style>
  <w:style w:type="character" w:styleId="11">
    <w:name w:val="Strong"/>
    <w:basedOn w:val="9"/>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e8922618a099bcf03fbff5a75cadd7a4" TargetMode="Externa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2025-10-24T12:06:51Z</dcterms:created>
  <dc:creator>iPhone</dc:creator>
  <cp:lastModifiedBy>iPhone</cp:lastModifiedBy>
  <dcterms:modified xsi:type="dcterms:W3CDTF">2025-10-24T12:08:30Z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3081-11.37.00</vt:lpwstr>
  </property>
  <property fmtid="{D5CDD505-2E9C-101B-9397-08002B2CF9AE}" pid="3" name="ICV">
    <vt:lpwstr>7BB4ED325F42D808AB41FB682C815F98_31</vt:lpwstr>
  </property>
</Properties>
</file>